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E5" w:rsidRPr="00CD68E5" w:rsidRDefault="00CD68E5" w:rsidP="00CD68E5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CD68E5">
        <w:rPr>
          <w:rFonts w:eastAsia="Calibri"/>
          <w:sz w:val="24"/>
          <w:szCs w:val="24"/>
          <w:lang w:val="ru-RU" w:eastAsia="ru-RU" w:bidi="ar-SA"/>
        </w:rPr>
        <w:t>Протокол № 0155100006421000005</w:t>
      </w:r>
      <w:r>
        <w:rPr>
          <w:rFonts w:eastAsia="Calibri"/>
          <w:sz w:val="24"/>
          <w:szCs w:val="24"/>
          <w:lang w:eastAsia="ru-RU" w:bidi="ar-SA"/>
        </w:rPr>
        <w:t>-1</w:t>
      </w:r>
      <w:r w:rsidRPr="00CD68E5">
        <w:rPr>
          <w:rFonts w:eastAsia="Calibri"/>
          <w:sz w:val="24"/>
          <w:szCs w:val="24"/>
          <w:lang w:val="ru-RU" w:eastAsia="ru-RU" w:bidi="ar-SA"/>
        </w:rPr>
        <w:t xml:space="preserve"> </w:t>
      </w:r>
    </w:p>
    <w:p w:rsidR="00CD68E5" w:rsidRPr="00CD68E5" w:rsidRDefault="00CD68E5" w:rsidP="00CD68E5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CD68E5">
        <w:rPr>
          <w:rFonts w:eastAsia="Calibri"/>
          <w:sz w:val="24"/>
          <w:szCs w:val="24"/>
          <w:lang w:val="ru-RU" w:eastAsia="ru-RU" w:bidi="ar-SA"/>
        </w:rPr>
        <w:t>рассмотрения заявок на участие</w:t>
      </w:r>
      <w:r>
        <w:rPr>
          <w:rFonts w:eastAsia="Calibri"/>
          <w:sz w:val="24"/>
          <w:szCs w:val="24"/>
          <w:lang w:eastAsia="ru-RU" w:bidi="ar-SA"/>
        </w:rPr>
        <w:t xml:space="preserve"> </w:t>
      </w:r>
      <w:r w:rsidRPr="00CD68E5">
        <w:rPr>
          <w:rFonts w:eastAsia="Calibri"/>
          <w:sz w:val="24"/>
          <w:szCs w:val="24"/>
          <w:lang w:val="ru-RU" w:eastAsia="ru-RU" w:bidi="ar-SA"/>
        </w:rPr>
        <w:t>в электронном аукционе</w:t>
      </w:r>
    </w:p>
    <w:p w:rsidR="00CD68E5" w:rsidRPr="00CD68E5" w:rsidRDefault="00CD68E5" w:rsidP="00CD68E5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CD68E5">
        <w:rPr>
          <w:rFonts w:eastAsia="Calibri"/>
          <w:sz w:val="24"/>
          <w:szCs w:val="24"/>
          <w:lang w:val="ru-RU" w:eastAsia="ru-RU" w:bidi="ar-SA"/>
        </w:rPr>
        <w:t xml:space="preserve">"Поставка картриджей для принтеров и многофункциональных устройств" </w:t>
      </w:r>
    </w:p>
    <w:p w:rsidR="00CD68E5" w:rsidRPr="00CD68E5" w:rsidRDefault="00CD68E5" w:rsidP="00CD68E5">
      <w:pPr>
        <w:rPr>
          <w:rFonts w:eastAsia="Calibri"/>
          <w:lang w:val="ru-RU" w:eastAsia="ru-RU" w:bidi="ar-SA"/>
        </w:rPr>
      </w:pPr>
    </w:p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CD68E5" w:rsidRPr="00CD68E5" w:rsidTr="00D5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68E5" w:rsidRPr="00CD68E5" w:rsidRDefault="00CD68E5" w:rsidP="00D57657">
            <w:pPr>
              <w:jc w:val="right"/>
              <w:rPr>
                <w:rFonts w:eastAsia="Calibri"/>
                <w:color w:val="000000"/>
                <w:lang w:val="ru-RU"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 xml:space="preserve">г. Пенза                                                                                                                                 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t>14.05.2021</w:t>
            </w:r>
          </w:p>
        </w:tc>
      </w:tr>
    </w:tbl>
    <w:p w:rsidR="00CD68E5" w:rsidRPr="00CD68E5" w:rsidRDefault="00CD68E5" w:rsidP="00CD68E5">
      <w:pPr>
        <w:rPr>
          <w:rFonts w:eastAsia="Calibri"/>
          <w:lang w:val="ru-RU" w:eastAsia="ru-RU" w:bidi="ar-SA"/>
        </w:rPr>
      </w:pP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>Организатор: ТЕРРИТОРИАЛЬНЫЙ ОРГАН ФЕДЕРАЛЬНОЙ СЛУЖБЫ ГОСУДАРСТВЕННОЙ СТАТИСТИКИ ПО ПЕНЗЕНСКОЙ ОБЛАСТИ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>Заказчик (и):</w:t>
      </w:r>
      <w:r w:rsidRPr="00CD68E5">
        <w:rPr>
          <w:rFonts w:eastAsia="Calibri"/>
          <w:lang w:val="ru-RU" w:eastAsia="ru-RU" w:bidi="ar-SA"/>
        </w:rPr>
        <w:br/>
        <w:t>ТЕРРИТОРИАЛЬНЫЙ ОРГАН ФЕДЕРАЛЬНОЙ СЛУЖБЫ ГОСУДАРСТВЕННОЙ СТАТИСТИКИ ПО ПЕНЗЕНСКОЙ ОБЛАСТИ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 xml:space="preserve">Наименование объекта закупки:  "Поставка картриджей для принтеров и многофункциональных устройств" 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 xml:space="preserve">Идентификационный код закупки:  211583601055458360100100310020000242; 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>Начальная (максимальная) цена контракта:  176176.67  RUB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 xml:space="preserve">Место публикации: АО «Сбербанк-АСТ» по адресу в сети интернет </w:t>
      </w:r>
      <w:hyperlink r:id="rId5" w:history="1">
        <w:r w:rsidRPr="00CD68E5">
          <w:rPr>
            <w:rFonts w:eastAsia="Calibri"/>
            <w:color w:val="0000FF"/>
            <w:u w:val="single" w:color="0000EE"/>
            <w:lang w:val="ru-RU" w:eastAsia="ru-RU" w:bidi="ar-SA"/>
          </w:rPr>
          <w:t>www.sberbank-ast.ru</w:t>
        </w:r>
      </w:hyperlink>
      <w:r w:rsidRPr="00CD68E5">
        <w:rPr>
          <w:rFonts w:eastAsia="Calibri"/>
          <w:lang w:val="ru-RU" w:eastAsia="ru-RU" w:bidi="ar-SA"/>
        </w:rPr>
        <w:t xml:space="preserve">  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 xml:space="preserve">Место поставки товара, выполнения работ, оказания услуг: Российская Федерация, Пензенская </w:t>
      </w:r>
      <w:proofErr w:type="spellStart"/>
      <w:r w:rsidRPr="00CD68E5">
        <w:rPr>
          <w:rFonts w:eastAsia="Calibri"/>
          <w:lang w:val="ru-RU" w:eastAsia="ru-RU" w:bidi="ar-SA"/>
        </w:rPr>
        <w:t>обл</w:t>
      </w:r>
      <w:proofErr w:type="spellEnd"/>
      <w:r>
        <w:rPr>
          <w:rFonts w:eastAsia="Calibri"/>
          <w:lang w:eastAsia="ru-RU" w:bidi="ar-SA"/>
        </w:rPr>
        <w:t>.</w:t>
      </w:r>
      <w:r w:rsidRPr="00CD68E5">
        <w:rPr>
          <w:rFonts w:eastAsia="Calibri"/>
          <w:lang w:val="ru-RU" w:eastAsia="ru-RU" w:bidi="ar-SA"/>
        </w:rPr>
        <w:t>, г</w:t>
      </w:r>
      <w:r>
        <w:rPr>
          <w:rFonts w:eastAsia="Calibri"/>
          <w:lang w:eastAsia="ru-RU" w:bidi="ar-SA"/>
        </w:rPr>
        <w:t>.</w:t>
      </w:r>
      <w:r w:rsidRPr="00CD68E5">
        <w:rPr>
          <w:rFonts w:eastAsia="Calibri"/>
          <w:lang w:val="ru-RU" w:eastAsia="ru-RU" w:bidi="ar-SA"/>
        </w:rPr>
        <w:t xml:space="preserve"> </w:t>
      </w:r>
      <w:r w:rsidRPr="00CD68E5">
        <w:rPr>
          <w:rFonts w:eastAsia="Calibri"/>
          <w:lang w:val="ru-RU" w:eastAsia="ru-RU" w:bidi="ar-SA"/>
        </w:rPr>
        <w:t>Пенза</w:t>
      </w:r>
      <w:r>
        <w:rPr>
          <w:rFonts w:eastAsia="Calibri"/>
          <w:lang w:eastAsia="ru-RU" w:bidi="ar-SA"/>
        </w:rPr>
        <w:t>.</w:t>
      </w:r>
      <w:r w:rsidRPr="00CD68E5">
        <w:rPr>
          <w:rFonts w:eastAsia="Calibri"/>
          <w:lang w:val="ru-RU" w:eastAsia="ru-RU" w:bidi="ar-SA"/>
        </w:rPr>
        <w:t xml:space="preserve"> Товар доставляется Поставщиком в административное здание Пензастата, расположенное по адресу: г. Пенза, ул. Пушкина, 28.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 xml:space="preserve">Состав </w:t>
      </w:r>
      <w:r>
        <w:rPr>
          <w:rFonts w:eastAsia="Calibri"/>
          <w:lang w:val="ru-RU" w:eastAsia="ru-RU" w:bidi="ar-SA"/>
        </w:rPr>
        <w:t>Единой</w:t>
      </w:r>
      <w:r w:rsidRPr="00CD68E5">
        <w:rPr>
          <w:rFonts w:eastAsia="Calibri"/>
          <w:lang w:val="ru-RU" w:eastAsia="ru-RU" w:bidi="ar-SA"/>
        </w:rPr>
        <w:t xml:space="preserve"> комиссии: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286"/>
        <w:gridCol w:w="5493"/>
      </w:tblGrid>
      <w:tr w:rsidR="00CD68E5" w:rsidRPr="00CD68E5" w:rsidTr="00D5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 xml:space="preserve">На заседании </w:t>
            </w:r>
            <w:r>
              <w:rPr>
                <w:rFonts w:eastAsia="Calibri"/>
                <w:color w:val="000000"/>
                <w:lang w:val="ru-RU" w:eastAsia="ru-RU" w:bidi="ar-SA"/>
              </w:rPr>
              <w:t>Единой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t xml:space="preserve"> комиссии присутствовали </w:t>
            </w:r>
          </w:p>
        </w:tc>
      </w:tr>
      <w:tr w:rsidR="00CD68E5" w:rsidRPr="00CD68E5" w:rsidTr="00D5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И.О. председателя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CD68E5" w:rsidRPr="00CD68E5" w:rsidTr="00D5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CD68E5" w:rsidRPr="00CD68E5" w:rsidTr="00D5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CD68E5" w:rsidRPr="00CD68E5" w:rsidTr="00D5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CD68E5" w:rsidRPr="00CD68E5" w:rsidTr="00D5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CD68E5" w:rsidRPr="00CD68E5" w:rsidTr="00D5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CD68E5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 xml:space="preserve">Акмайкин Эдуард 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t>Ф</w:t>
            </w:r>
            <w:r>
              <w:rPr>
                <w:rFonts w:eastAsia="Calibri"/>
                <w:color w:val="000000"/>
                <w:lang w:eastAsia="ru-RU" w:bidi="ar-SA"/>
              </w:rPr>
              <w:t>е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t>дорович</w:t>
            </w:r>
          </w:p>
        </w:tc>
      </w:tr>
    </w:tbl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 xml:space="preserve">Всего на заседании присутствовало 6 членов </w:t>
      </w:r>
      <w:r>
        <w:rPr>
          <w:rFonts w:eastAsia="Calibri"/>
          <w:lang w:val="ru-RU" w:eastAsia="ru-RU" w:bidi="ar-SA"/>
        </w:rPr>
        <w:t>Единой</w:t>
      </w:r>
      <w:r w:rsidRPr="00CD68E5">
        <w:rPr>
          <w:rFonts w:eastAsia="Calibri"/>
          <w:lang w:val="ru-RU" w:eastAsia="ru-RU" w:bidi="ar-SA"/>
        </w:rPr>
        <w:t xml:space="preserve"> комиссии. Кворум имеется  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>Дата и время публикации извещения (время московское):  26.04.2021 09:10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>Дата и время окончания срока подачи заявок (время московское):  13.05.2021  17:00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>Дата окончания срока рассмотрения заявок:  14.05.2021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>Дата и время проведения электронного аукциона (время московское):  17.05.2021  10:00</w:t>
      </w:r>
    </w:p>
    <w:p w:rsidR="00CD68E5" w:rsidRDefault="00CD68E5" w:rsidP="00CD68E5">
      <w:pPr>
        <w:pStyle w:val="usual1"/>
        <w:rPr>
          <w:rFonts w:eastAsia="Calibri"/>
          <w:lang w:eastAsia="ru-RU" w:bidi="ar-SA"/>
        </w:rPr>
      </w:pPr>
      <w:r w:rsidRPr="00CD68E5">
        <w:rPr>
          <w:rFonts w:eastAsia="Calibri"/>
          <w:lang w:val="ru-RU" w:eastAsia="ru-RU" w:bidi="ar-SA"/>
        </w:rPr>
        <w:t xml:space="preserve">Особенности осуществления закупки: </w:t>
      </w:r>
    </w:p>
    <w:p w:rsidR="00CD68E5" w:rsidRPr="00CD68E5" w:rsidRDefault="00CD68E5" w:rsidP="00CD68E5">
      <w:pPr>
        <w:pStyle w:val="usual1"/>
        <w:rPr>
          <w:rFonts w:eastAsia="Calibri"/>
          <w:lang w:eastAsia="ru-RU" w:bidi="ar-SA"/>
        </w:rPr>
      </w:pP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2920"/>
        <w:gridCol w:w="6813"/>
      </w:tblGrid>
      <w:tr w:rsidR="00CD68E5" w:rsidRPr="00CD68E5" w:rsidTr="00D57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Субъектам малого предпринимательства, социально ориентированным некоммерческим организациям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CD68E5" w:rsidRPr="00CD68E5" w:rsidTr="00D57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lastRenderedPageBreak/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CD68E5" w:rsidRPr="00CD68E5" w:rsidTr="00CD68E5">
        <w:trPr>
          <w:trHeight w:val="1052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Единые требования к участникам закупок в соответствии с ч. 1 ст. 31 Закона № 44-ФЗ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CD68E5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Установлены в разделе 13 документации об аукционе.</w:t>
            </w:r>
          </w:p>
        </w:tc>
      </w:tr>
      <w:tr w:rsidR="00CD68E5" w:rsidRPr="00CD68E5" w:rsidTr="00CD68E5">
        <w:trPr>
          <w:trHeight w:val="235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Требования к участникам закупок в соответствии с частью 1.1 статьи 31 Федерального закона № 44-ФЗ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CD68E5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Отсутствие в реестре недобросовестных поставщиков (исполнителей, подрядчиков)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</w:t>
            </w:r>
          </w:p>
        </w:tc>
      </w:tr>
      <w:tr w:rsidR="00CD68E5" w:rsidRPr="00CD68E5" w:rsidTr="00CD68E5">
        <w:trPr>
          <w:trHeight w:val="164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CD68E5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Ограничено участие в закупке юридических лиц, не являющихся субъектами малого предпринимательства, социально-ориентированными некоммерческими организациями.</w:t>
            </w:r>
          </w:p>
        </w:tc>
      </w:tr>
      <w:tr w:rsidR="00CD68E5" w:rsidRPr="00CD68E5" w:rsidTr="00D57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CD68E5" w:rsidRPr="00CD68E5" w:rsidTr="00D5765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В случае предоставления обеспечительных мер путем предоставления банковской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</w:tbl>
    <w:p w:rsidR="00CD68E5" w:rsidRDefault="00CD68E5" w:rsidP="00CD68E5">
      <w:pPr>
        <w:pStyle w:val="usual1"/>
        <w:spacing w:after="200"/>
        <w:rPr>
          <w:rFonts w:eastAsia="Calibri"/>
          <w:lang w:eastAsia="ru-RU" w:bidi="ar-SA"/>
        </w:rPr>
      </w:pP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Style w:val="requests"/>
        <w:tblW w:w="4500" w:type="pct"/>
        <w:tblCellSpacing w:w="15" w:type="dxa"/>
        <w:tblInd w:w="30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8801"/>
      </w:tblGrid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- 113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- 29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- 234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Идентификационный номер заявки - 158</w:t>
            </w:r>
          </w:p>
        </w:tc>
      </w:tr>
    </w:tbl>
    <w:p w:rsid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</w:p>
    <w:p w:rsidR="00CD68E5" w:rsidRDefault="00CD68E5">
      <w:pPr>
        <w:spacing w:after="200" w:line="276" w:lineRule="auto"/>
        <w:rPr>
          <w:rFonts w:eastAsia="Calibri"/>
          <w:lang w:val="ru-RU" w:eastAsia="ru-RU" w:bidi="ar-SA"/>
        </w:rPr>
      </w:pPr>
      <w:r>
        <w:rPr>
          <w:rFonts w:eastAsia="Calibri"/>
          <w:lang w:val="ru-RU" w:eastAsia="ru-RU" w:bidi="ar-SA"/>
        </w:rPr>
        <w:br w:type="page"/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lastRenderedPageBreak/>
        <w:t xml:space="preserve">Сведения о решении членов </w:t>
      </w:r>
      <w:r>
        <w:rPr>
          <w:rFonts w:eastAsia="Calibri"/>
          <w:lang w:val="ru-RU" w:eastAsia="ru-RU" w:bidi="ar-SA"/>
        </w:rPr>
        <w:t>Единой</w:t>
      </w:r>
      <w:r w:rsidRPr="00CD68E5">
        <w:rPr>
          <w:rFonts w:eastAsia="Calibri"/>
          <w:lang w:val="ru-RU" w:eastAsia="ru-RU" w:bidi="ar-SA"/>
        </w:rPr>
        <w:t xml:space="preserve"> комиссии о допуске/отказе в допуске к участию в электронном аукционе: </w:t>
      </w:r>
    </w:p>
    <w:tbl>
      <w:tblPr>
        <w:tblStyle w:val="requests"/>
        <w:tblW w:w="4664" w:type="pct"/>
        <w:tblCellSpacing w:w="15" w:type="dxa"/>
        <w:tblInd w:w="30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566"/>
      </w:tblGrid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BD5BE6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>1)  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t>Отказать в допуске к участию в открытом аукционе в электронной форме участнику размещения заказа: на основании п.1 ч.4 ст.67 Закона 44-ФЗ</w:t>
            </w:r>
            <w:r w:rsidR="00BD5BE6">
              <w:rPr>
                <w:rFonts w:eastAsia="Calibri"/>
                <w:color w:val="000000"/>
                <w:lang w:eastAsia="ru-RU" w:bidi="ar-SA"/>
              </w:rPr>
              <w:t xml:space="preserve">: </w:t>
            </w:r>
            <w:r w:rsidR="00BD5BE6">
              <w:t>непредоставление информации, предусмотренной ч. 3 ст. 66 Федерального закона № 44-ФЗ</w:t>
            </w:r>
            <w:r w:rsidRPr="00CD68E5">
              <w:rPr>
                <w:rFonts w:eastAsia="Calibri"/>
                <w:color w:val="000000"/>
                <w:lang w:val="ru-RU" w:eastAsia="ru-RU" w:bidi="ar-SA"/>
              </w:rPr>
              <w:t xml:space="preserve"> 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- 113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Default="00CD68E5" w:rsidP="00D57657">
            <w:pPr>
              <w:rPr>
                <w:rFonts w:eastAsia="Calibri"/>
                <w:color w:val="000000"/>
                <w:lang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- 12.05.2021 12:16:40</w:t>
            </w:r>
          </w:p>
          <w:p w:rsidR="00CD68E5" w:rsidRPr="00CD68E5" w:rsidRDefault="00CD68E5" w:rsidP="00D57657">
            <w:pPr>
              <w:rPr>
                <w:rFonts w:eastAsia="Calibri"/>
                <w:color w:val="000000"/>
                <w:lang w:eastAsia="ru-RU" w:bidi="ar-SA"/>
              </w:rPr>
            </w:pP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94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082"/>
              <w:gridCol w:w="3968"/>
              <w:gridCol w:w="2410"/>
            </w:tblGrid>
            <w:tr w:rsidR="00CD68E5" w:rsidRPr="00CD68E5" w:rsidTr="00CD68E5">
              <w:tc>
                <w:tcPr>
                  <w:tcW w:w="16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113</w:t>
                  </w:r>
                </w:p>
              </w:tc>
              <w:tc>
                <w:tcPr>
                  <w:tcW w:w="12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CD68E5" w:rsidRPr="00CD68E5" w:rsidTr="00CD68E5">
              <w:tc>
                <w:tcPr>
                  <w:tcW w:w="16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20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Отказать в допуске к участию в электронном аукционе </w:t>
                  </w:r>
                </w:p>
              </w:tc>
              <w:tc>
                <w:tcPr>
                  <w:tcW w:w="127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CD68E5">
                  <w:pPr>
                    <w:rPr>
                      <w:rFonts w:eastAsia="Calibri"/>
                      <w:color w:val="000000"/>
                      <w:lang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на основании п.1 ч.4 ст.67 Закона 44-ФЗ</w:t>
                  </w:r>
                  <w:r>
                    <w:rPr>
                      <w:rFonts w:eastAsia="Calibri"/>
                      <w:color w:val="000000"/>
                      <w:lang w:eastAsia="ru-RU" w:bidi="ar-SA"/>
                    </w:rPr>
                    <w:t>:</w:t>
                  </w:r>
                </w:p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>
                    <w:t>непредоставление информации, предусмотренной ч. 3 ст. 66 Федерального закона № 44-ФЗ</w:t>
                  </w:r>
                </w:p>
              </w:tc>
            </w:tr>
            <w:tr w:rsidR="00CD68E5" w:rsidRPr="00CD68E5" w:rsidTr="00CD68E5">
              <w:tc>
                <w:tcPr>
                  <w:tcW w:w="16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Отказать в допуске к участию в электронном аукционе </w:t>
                  </w:r>
                </w:p>
              </w:tc>
              <w:tc>
                <w:tcPr>
                  <w:tcW w:w="127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CD68E5">
              <w:tc>
                <w:tcPr>
                  <w:tcW w:w="16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Отказать в допуске к участию в электронном аукционе </w:t>
                  </w:r>
                </w:p>
              </w:tc>
              <w:tc>
                <w:tcPr>
                  <w:tcW w:w="127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CD68E5">
              <w:tc>
                <w:tcPr>
                  <w:tcW w:w="16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20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Отказать в допуске к участию в электронном аукционе </w:t>
                  </w:r>
                </w:p>
              </w:tc>
              <w:tc>
                <w:tcPr>
                  <w:tcW w:w="127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CD68E5">
              <w:tc>
                <w:tcPr>
                  <w:tcW w:w="16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Отказать в допуске к участию в электронном аукционе </w:t>
                  </w:r>
                </w:p>
              </w:tc>
              <w:tc>
                <w:tcPr>
                  <w:tcW w:w="127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CD68E5">
              <w:tc>
                <w:tcPr>
                  <w:tcW w:w="16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Федерович</w:t>
                  </w:r>
                </w:p>
              </w:tc>
              <w:tc>
                <w:tcPr>
                  <w:tcW w:w="20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Отказать в допуске к участию в электронном аукционе </w:t>
                  </w:r>
                </w:p>
              </w:tc>
              <w:tc>
                <w:tcPr>
                  <w:tcW w:w="1274" w:type="pct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CD68E5">
              <w:tc>
                <w:tcPr>
                  <w:tcW w:w="16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Отказать в допуске к участию в электронном аукционе </w:t>
                  </w:r>
                </w:p>
              </w:tc>
              <w:tc>
                <w:tcPr>
                  <w:tcW w:w="1274" w:type="pct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Default="00CD68E5" w:rsidP="00BD5BE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C1D43">
              <w:t xml:space="preserve">Заявка участника закупки отклонена в связи с </w:t>
            </w:r>
            <w:proofErr w:type="spellStart"/>
            <w:r w:rsidRPr="00C165E4">
              <w:t>непредоставлением</w:t>
            </w:r>
            <w:proofErr w:type="spellEnd"/>
            <w:r w:rsidRPr="00C165E4">
              <w:t xml:space="preserve"> информации, предусмотренной ч. 3 ст. 66 Федерального закона № 44-ФЗ</w:t>
            </w:r>
            <w:r w:rsidRPr="003C1D43">
              <w:t xml:space="preserve">. Так, </w:t>
            </w:r>
            <w:r w:rsidRPr="00C165E4">
              <w:t xml:space="preserve">в соответствии с ч. 3 ст. 66 Федерального закона № 44-ФЗ в составе первой части заявки участник закупки должен указать </w:t>
            </w:r>
            <w:r w:rsidRPr="00C165E4">
              <w:rPr>
                <w:rFonts w:eastAsiaTheme="minorHAnsi"/>
                <w:lang w:eastAsia="en-US"/>
              </w:rPr>
              <w:t xml:space="preserve">конкретные показатели товара, соответствующие значениям, установленным в документации об электронном аукционе. </w:t>
            </w:r>
            <w:bookmarkStart w:id="0" w:name="_GoBack"/>
            <w:r w:rsidRPr="00C165E4">
              <w:rPr>
                <w:rFonts w:eastAsiaTheme="minorHAnsi"/>
                <w:lang w:eastAsia="en-US"/>
              </w:rPr>
              <w:t xml:space="preserve">В таблице № 1 документации об аукционе по </w:t>
            </w:r>
            <w:r w:rsidR="00BD5BE6">
              <w:rPr>
                <w:rFonts w:eastAsiaTheme="minorHAnsi"/>
                <w:lang w:eastAsia="en-US"/>
              </w:rPr>
              <w:t>позиции 7</w:t>
            </w:r>
            <w:r w:rsidRPr="00C165E4">
              <w:rPr>
                <w:rFonts w:eastAsiaTheme="minorHAnsi"/>
                <w:lang w:eastAsia="en-US"/>
              </w:rPr>
              <w:t xml:space="preserve"> «</w:t>
            </w:r>
            <w:r w:rsidR="00BD5BE6">
              <w:rPr>
                <w:rFonts w:eastAsiaTheme="minorHAnsi"/>
                <w:lang w:eastAsia="en-US"/>
              </w:rPr>
              <w:t>Картридж 106</w:t>
            </w:r>
            <w:r w:rsidR="00BD5BE6">
              <w:rPr>
                <w:rFonts w:eastAsiaTheme="minorHAnsi"/>
                <w:lang w:val="en-US" w:eastAsia="en-US"/>
              </w:rPr>
              <w:t>R</w:t>
            </w:r>
            <w:r w:rsidR="00BD5BE6" w:rsidRPr="00BD5BE6">
              <w:rPr>
                <w:rFonts w:eastAsiaTheme="minorHAnsi"/>
                <w:lang w:eastAsia="en-US"/>
              </w:rPr>
              <w:t>01378</w:t>
            </w:r>
            <w:r w:rsidRPr="00C165E4">
              <w:rPr>
                <w:bCs/>
                <w:kern w:val="32"/>
              </w:rPr>
              <w:t xml:space="preserve">» </w:t>
            </w:r>
            <w:r>
              <w:rPr>
                <w:bCs/>
                <w:kern w:val="32"/>
              </w:rPr>
              <w:t>установлен показатель 1.</w:t>
            </w:r>
            <w:r w:rsidR="00BD5BE6" w:rsidRPr="00BD5BE6">
              <w:rPr>
                <w:bCs/>
                <w:kern w:val="32"/>
              </w:rPr>
              <w:t>4</w:t>
            </w:r>
            <w:r>
              <w:rPr>
                <w:bCs/>
                <w:kern w:val="32"/>
              </w:rPr>
              <w:t xml:space="preserve"> «</w:t>
            </w:r>
            <w:r w:rsidR="00BD5BE6">
              <w:rPr>
                <w:bCs/>
                <w:kern w:val="32"/>
              </w:rPr>
              <w:t>Смарт-карта</w:t>
            </w:r>
            <w:r>
              <w:rPr>
                <w:bCs/>
                <w:kern w:val="32"/>
              </w:rPr>
              <w:t>» и значение данного показателя - «наличие». В заявке участника закупки информация по данному показателю предлагаемого к поставке товара не представлена.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  <w:bookmarkEnd w:id="0"/>
          </w:p>
          <w:p w:rsidR="00CD68E5" w:rsidRDefault="00CD68E5" w:rsidP="00BD5BE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CD68E5" w:rsidRPr="00CD68E5" w:rsidRDefault="00BD5BE6" w:rsidP="00BD5BE6">
            <w:pPr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>2) </w:t>
            </w:r>
            <w:r w:rsidR="00CD68E5" w:rsidRPr="00CD68E5">
              <w:rPr>
                <w:rFonts w:eastAsia="Calibri"/>
                <w:color w:val="000000"/>
                <w:lang w:val="ru-RU" w:eastAsia="ru-RU" w:bidi="ar-SA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BD5BE6" w:rsidRDefault="00CD68E5" w:rsidP="00D57657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BD5BE6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- 29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- 12.05.2021 13:18:48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31"/>
              <w:gridCol w:w="3686"/>
              <w:gridCol w:w="1843"/>
            </w:tblGrid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29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>Никонова Ольга Александровна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Федерович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BE6" w:rsidRDefault="00BD5BE6" w:rsidP="00D57657">
            <w:pPr>
              <w:rPr>
                <w:rFonts w:eastAsia="Calibri"/>
                <w:color w:val="000000"/>
                <w:lang w:eastAsia="ru-RU" w:bidi="ar-SA"/>
              </w:rPr>
            </w:pPr>
          </w:p>
          <w:p w:rsidR="00CD68E5" w:rsidRPr="00CD68E5" w:rsidRDefault="00BD5BE6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>3) </w:t>
            </w:r>
            <w:r w:rsidR="00CD68E5" w:rsidRPr="00CD68E5">
              <w:rPr>
                <w:rFonts w:eastAsia="Calibri"/>
                <w:color w:val="000000"/>
                <w:lang w:val="ru-RU" w:eastAsia="ru-RU" w:bidi="ar-SA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BD5BE6" w:rsidRDefault="00CD68E5" w:rsidP="00D57657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BD5BE6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- 234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- 12.05.2021 21:17:59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31"/>
              <w:gridCol w:w="3686"/>
              <w:gridCol w:w="1843"/>
            </w:tblGrid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234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Федерович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5BE6" w:rsidRDefault="00BD5BE6" w:rsidP="00D57657">
            <w:pPr>
              <w:rPr>
                <w:rFonts w:eastAsia="Calibri"/>
                <w:color w:val="000000"/>
                <w:lang w:eastAsia="ru-RU" w:bidi="ar-SA"/>
              </w:rPr>
            </w:pPr>
          </w:p>
          <w:p w:rsidR="00CD68E5" w:rsidRPr="00CD68E5" w:rsidRDefault="00BD5BE6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>4) </w:t>
            </w:r>
            <w:r w:rsidR="00CD68E5" w:rsidRPr="00CD68E5">
              <w:rPr>
                <w:rFonts w:eastAsia="Calibri"/>
                <w:color w:val="000000"/>
                <w:lang w:val="ru-RU" w:eastAsia="ru-RU" w:bidi="ar-SA"/>
              </w:rPr>
              <w:t xml:space="preserve">Допустить к участию в открытом аукционе в электронной форме и признать участником электронного аукциона: 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BD5BE6" w:rsidRDefault="00CD68E5" w:rsidP="00D57657">
            <w:p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BD5BE6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- 158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- 12.05.2021 23:13:18</w:t>
            </w:r>
          </w:p>
        </w:tc>
      </w:tr>
      <w:tr w:rsidR="00CD68E5" w:rsidRPr="00CD68E5" w:rsidTr="00CD68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31"/>
              <w:gridCol w:w="3686"/>
              <w:gridCol w:w="1843"/>
            </w:tblGrid>
            <w:tr w:rsidR="00CD68E5" w:rsidRPr="00CD68E5" w:rsidTr="00BD5BE6">
              <w:trPr>
                <w:trHeight w:val="520"/>
              </w:trPr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158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Гришин Евгений Викторович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Никонова Ольга Александровна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>Гончаренко Светлана Владимировна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Федерович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CD68E5" w:rsidRPr="00CD68E5" w:rsidTr="00BD5BE6">
              <w:tc>
                <w:tcPr>
                  <w:tcW w:w="207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19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CD68E5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CD68E5" w:rsidRPr="00CD68E5" w:rsidRDefault="00CD68E5" w:rsidP="00D57657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CD68E5" w:rsidRPr="00CD68E5" w:rsidRDefault="00CD68E5" w:rsidP="00CD68E5">
      <w:pPr>
        <w:rPr>
          <w:rFonts w:eastAsia="Calibri"/>
          <w:lang w:val="ru-RU" w:eastAsia="ru-RU" w:bidi="ar-SA"/>
        </w:rPr>
      </w:pPr>
    </w:p>
    <w:p w:rsidR="00CD68E5" w:rsidRPr="00CD68E5" w:rsidRDefault="00CD68E5" w:rsidP="00BD5BE6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 xml:space="preserve">Информация о наличии среди предложений участников закупки, признанных участниками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не имеется. </w:t>
      </w:r>
    </w:p>
    <w:p w:rsidR="00CD68E5" w:rsidRPr="00CD68E5" w:rsidRDefault="00CD68E5" w:rsidP="00BD5BE6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 xml:space="preserve">Настоящий протокол подлежит размещению в единой информационной системе в сфере закупок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 xml:space="preserve">Настоящий протокол подлежит хранению в течение трех лет. </w:t>
      </w:r>
    </w:p>
    <w:p w:rsidR="00CD68E5" w:rsidRPr="00CD68E5" w:rsidRDefault="00CD68E5" w:rsidP="00CD68E5">
      <w:pPr>
        <w:pStyle w:val="usual1"/>
        <w:spacing w:after="200"/>
        <w:rPr>
          <w:rFonts w:eastAsia="Calibri"/>
          <w:lang w:val="ru-RU" w:eastAsia="ru-RU" w:bidi="ar-SA"/>
        </w:rPr>
      </w:pPr>
      <w:r w:rsidRPr="00CD68E5">
        <w:rPr>
          <w:rFonts w:eastAsia="Calibri"/>
          <w:lang w:val="ru-RU" w:eastAsia="ru-RU" w:bidi="ar-SA"/>
        </w:rPr>
        <w:t xml:space="preserve">Подписи: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908"/>
        <w:gridCol w:w="2928"/>
        <w:gridCol w:w="2943"/>
      </w:tblGrid>
      <w:tr w:rsidR="00CD68E5" w:rsidRPr="00CD68E5" w:rsidTr="00D57657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И.О. председателя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CD68E5" w:rsidRPr="00CD68E5" w:rsidRDefault="00CD68E5" w:rsidP="00D57657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Гришин Евгений Викторович</w:t>
            </w:r>
          </w:p>
        </w:tc>
      </w:tr>
      <w:tr w:rsidR="00CD68E5" w:rsidRPr="00CD68E5" w:rsidTr="00D57657">
        <w:trPr>
          <w:tblCellSpacing w:w="15" w:type="dxa"/>
        </w:trPr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CD68E5" w:rsidRPr="00CD68E5" w:rsidTr="00D57657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CD68E5" w:rsidRPr="00CD68E5" w:rsidRDefault="00CD68E5" w:rsidP="00D57657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CD68E5" w:rsidRPr="00CD68E5" w:rsidTr="00D57657">
        <w:trPr>
          <w:tblCellSpacing w:w="15" w:type="dxa"/>
        </w:trPr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CD68E5" w:rsidRPr="00CD68E5" w:rsidTr="00D57657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CD68E5" w:rsidRPr="00CD68E5" w:rsidRDefault="00CD68E5" w:rsidP="00D57657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CD68E5" w:rsidRPr="00CD68E5" w:rsidTr="00D57657">
        <w:trPr>
          <w:tblCellSpacing w:w="15" w:type="dxa"/>
        </w:trPr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CD68E5" w:rsidRPr="00CD68E5" w:rsidTr="00D57657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CD68E5" w:rsidRPr="00CD68E5" w:rsidRDefault="00CD68E5" w:rsidP="00D57657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Никонова Ольга Александровна</w:t>
            </w:r>
          </w:p>
        </w:tc>
      </w:tr>
      <w:tr w:rsidR="00CD68E5" w:rsidRPr="00CD68E5" w:rsidTr="00D57657">
        <w:trPr>
          <w:tblCellSpacing w:w="15" w:type="dxa"/>
        </w:trPr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CD68E5" w:rsidRPr="00CD68E5" w:rsidTr="00D57657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CD68E5" w:rsidRPr="00CD68E5" w:rsidRDefault="00CD68E5" w:rsidP="00D57657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CD68E5" w:rsidRPr="00CD68E5" w:rsidTr="00D57657">
        <w:trPr>
          <w:tblCellSpacing w:w="15" w:type="dxa"/>
        </w:trPr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CD68E5" w:rsidRPr="00CD68E5" w:rsidTr="00D57657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CD68E5" w:rsidRPr="00CD68E5" w:rsidRDefault="00CD68E5" w:rsidP="00D57657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CD68E5">
              <w:rPr>
                <w:rFonts w:eastAsia="Calibri"/>
                <w:color w:val="000000"/>
                <w:lang w:val="ru-RU" w:eastAsia="ru-RU" w:bidi="ar-SA"/>
              </w:rPr>
              <w:t>Акмайкин Эдуард Федерович</w:t>
            </w:r>
          </w:p>
        </w:tc>
      </w:tr>
      <w:tr w:rsidR="00CD68E5" w:rsidRPr="00CD68E5" w:rsidTr="00D57657">
        <w:trPr>
          <w:tblCellSpacing w:w="15" w:type="dxa"/>
        </w:trPr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CD68E5" w:rsidRPr="00CD68E5" w:rsidRDefault="00CD68E5" w:rsidP="00D57657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B650A4" w:rsidRDefault="00B650A4" w:rsidP="00BD5BE6"/>
    <w:sectPr w:rsidR="00B650A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E5"/>
    <w:rsid w:val="003148DD"/>
    <w:rsid w:val="00B650A4"/>
    <w:rsid w:val="00BD5BE6"/>
    <w:rsid w:val="00C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CD68E5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CD68E5"/>
  </w:style>
  <w:style w:type="table" w:customStyle="1" w:styleId="commissionTable">
    <w:name w:val="commissionTable"/>
    <w:basedOn w:val="a1"/>
    <w:rsid w:val="00CD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CD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CD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List Paragraph"/>
    <w:basedOn w:val="a"/>
    <w:uiPriority w:val="34"/>
    <w:qFormat/>
    <w:rsid w:val="00CD6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CD68E5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CD68E5"/>
  </w:style>
  <w:style w:type="table" w:customStyle="1" w:styleId="commissionTable">
    <w:name w:val="commissionTable"/>
    <w:basedOn w:val="a1"/>
    <w:rsid w:val="00CD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CD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CD6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List Paragraph"/>
    <w:basedOn w:val="a"/>
    <w:uiPriority w:val="34"/>
    <w:qFormat/>
    <w:rsid w:val="00CD6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1</cp:revision>
  <cp:lastPrinted>2021-05-14T06:49:00Z</cp:lastPrinted>
  <dcterms:created xsi:type="dcterms:W3CDTF">2021-05-14T06:30:00Z</dcterms:created>
  <dcterms:modified xsi:type="dcterms:W3CDTF">2021-05-14T06:59:00Z</dcterms:modified>
</cp:coreProperties>
</file>